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5948" w14:textId="77777777" w:rsidR="0087629B" w:rsidRPr="00F566BF" w:rsidRDefault="0087629B" w:rsidP="0087629B">
      <w:pPr>
        <w:jc w:val="right"/>
        <w:rPr>
          <w:rFonts w:ascii="GHEA Grapalat" w:hAnsi="GHEA Grapalat"/>
          <w:i/>
          <w:sz w:val="18"/>
          <w:lang w:val="hy-AM"/>
        </w:rPr>
      </w:pPr>
      <w:bookmarkStart w:id="0" w:name="_Hlk134449546"/>
      <w:r w:rsidRPr="00F566BF">
        <w:rPr>
          <w:rFonts w:ascii="GHEA Grapalat" w:hAnsi="GHEA Grapalat"/>
          <w:i/>
          <w:sz w:val="18"/>
          <w:lang w:val="hy-AM"/>
        </w:rPr>
        <w:t>Հավելված N 1</w:t>
      </w:r>
      <w:r>
        <w:rPr>
          <w:rFonts w:ascii="GHEA Grapalat" w:hAnsi="GHEA Grapalat"/>
          <w:i/>
          <w:sz w:val="18"/>
          <w:lang w:val="hy-AM"/>
        </w:rPr>
        <w:t>.1</w:t>
      </w:r>
    </w:p>
    <w:p w14:paraId="6A5ACA35" w14:textId="45C5A021" w:rsidR="0087629B" w:rsidRDefault="00BC30EC" w:rsidP="0087629B">
      <w:pPr>
        <w:jc w:val="right"/>
        <w:rPr>
          <w:rFonts w:ascii="GHEA Grapalat" w:hAnsi="GHEA Grapalat"/>
          <w:i/>
          <w:sz w:val="18"/>
          <w:lang w:val="hy-AM"/>
        </w:rPr>
      </w:pPr>
      <w:r w:rsidRPr="00BC30EC">
        <w:rPr>
          <w:rFonts w:ascii="GHEA Grapalat" w:hAnsi="GHEA Grapalat"/>
          <w:i/>
          <w:sz w:val="18"/>
          <w:lang w:val="hy-AM"/>
        </w:rPr>
        <w:t>«ՀՀՓԿ-ԳՀԱՊՁԲ-39/23»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7629B" w:rsidRPr="00F566BF">
        <w:rPr>
          <w:rFonts w:ascii="GHEA Grapalat" w:hAnsi="GHEA Grapalat"/>
          <w:i/>
          <w:sz w:val="18"/>
          <w:lang w:val="hy-AM"/>
        </w:rPr>
        <w:t xml:space="preserve">ծածկագրով </w:t>
      </w:r>
      <w:r w:rsidR="0076508B">
        <w:rPr>
          <w:rFonts w:ascii="GHEA Grapalat" w:hAnsi="GHEA Grapalat"/>
          <w:i/>
          <w:sz w:val="18"/>
          <w:lang w:val="hy-AM"/>
        </w:rPr>
        <w:t>հրավերի</w:t>
      </w:r>
    </w:p>
    <w:p w14:paraId="380C4B84" w14:textId="77777777" w:rsidR="0087629B" w:rsidRDefault="0087629B" w:rsidP="0087629B">
      <w:pPr>
        <w:jc w:val="right"/>
        <w:rPr>
          <w:rFonts w:ascii="GHEA Grapalat" w:hAnsi="GHEA Grapalat"/>
          <w:i/>
          <w:sz w:val="18"/>
          <w:lang w:val="hy-AM"/>
        </w:rPr>
      </w:pPr>
    </w:p>
    <w:p w14:paraId="4AB9CEE2" w14:textId="77777777" w:rsidR="0087629B" w:rsidRDefault="0087629B" w:rsidP="0087629B">
      <w:pPr>
        <w:jc w:val="right"/>
        <w:rPr>
          <w:rFonts w:ascii="GHEA Grapalat" w:hAnsi="GHEA Grapalat"/>
          <w:i/>
          <w:sz w:val="18"/>
          <w:lang w:val="hy-A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87629B" w:rsidRPr="005703EB" w14:paraId="77740F64" w14:textId="77777777" w:rsidTr="004E57B0">
        <w:trPr>
          <w:trHeight w:val="335"/>
          <w:jc w:val="center"/>
        </w:trPr>
        <w:tc>
          <w:tcPr>
            <w:tcW w:w="9344" w:type="dxa"/>
            <w:shd w:val="clear" w:color="auto" w:fill="auto"/>
          </w:tcPr>
          <w:p w14:paraId="55429C53" w14:textId="1681E64D" w:rsidR="0087629B" w:rsidRPr="00BC30EC" w:rsidRDefault="00BC30EC" w:rsidP="002D3F6B">
            <w:pPr>
              <w:spacing w:line="360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BC30EC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Նավթամթերքում ծծումբի որոշման սարքի</w:t>
            </w:r>
            <w:r w:rsidR="0087629B" w:rsidRPr="00735C36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բնութագիր</w:t>
            </w:r>
          </w:p>
        </w:tc>
      </w:tr>
      <w:tr w:rsidR="0087629B" w:rsidRPr="00BC30EC" w14:paraId="1FB70837" w14:textId="77777777" w:rsidTr="004E57B0">
        <w:trPr>
          <w:trHeight w:val="1313"/>
          <w:jc w:val="center"/>
        </w:trPr>
        <w:tc>
          <w:tcPr>
            <w:tcW w:w="9344" w:type="dxa"/>
            <w:shd w:val="clear" w:color="auto" w:fill="auto"/>
          </w:tcPr>
          <w:p w14:paraId="091D0FB0" w14:textId="77777777" w:rsidR="00C8250C" w:rsidRDefault="00BC30EC" w:rsidP="002D3F6B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Սարքը նախատեսված է </w:t>
            </w: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նավթի և նավթամթերքի մեջ ծծմբի զանգվածային բաժինը չափելու համար՝ համաձայն ԳՕՍՏ Ռ 51947-2002, ԳՕՍՏ 32139-2019, ԳՕՍՏ ԻՍՕ 8754-2013, ԳՕՍՏ Ռ EN ISO 208047-20 ISO 20847-2014, ASTM D4294, ISO 8754:</w:t>
            </w:r>
          </w:p>
          <w:p w14:paraId="4F954FC6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Անալիզատորը նախատեսված է հեղուկ նմուշներում 10 ppm (ppm) ծծմբի զանգվածային բաժինը որոշելու համար: Ծծմբի պարունակության որոշումը էներգիա ցրող ռենտգենյան ֆլուորեսցենտային սպեկտրոմետրիայի միջոցով կամայական է նավթի, K2, K3 դասի ավտոմեքենաների վառելիքի, ավիացիոն վառելիքի, ավիացիոն բենզինի, մազութի և ծովային վառելիքի համար, ինչպես նաև օգտագործվում է ծծմբի պարունակության առցանց վերահսկման համար։ գազի յուղեր, բիտում, քսայուղեր և դրանց բաղադրիչները, այլ նավթամթերքներում:</w:t>
            </w:r>
          </w:p>
          <w:p w14:paraId="2E22316D" w14:textId="2BFCCEB6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Չափումների կարգը.</w:t>
            </w:r>
          </w:p>
          <w:p w14:paraId="70CEFBE9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• սենսորային էկրանի միջոցով օպերատորն ընտրվում է ստուգաչափում և մուտքագրվում թեստի անվանումը.</w:t>
            </w:r>
          </w:p>
          <w:p w14:paraId="4FA30744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• 3 մկմ թաղանթով ծածկված երկու կուվետ լցված են նմուշով;</w:t>
            </w:r>
          </w:p>
          <w:p w14:paraId="3C5A8BA7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• ձեռք բերված զուգահեռ նմուշները հաջորդաբար տեղադրվում են անալիզատորում և սկսվում են չափումները.</w:t>
            </w:r>
          </w:p>
          <w:p w14:paraId="78AC583C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• Հետագա բոլոր գործողությունները կատարվում են ավտոմատ կերպով՝ առանց օպերատորի մասնակցության. - հաշվարկվում և ցուցադրվում է ծծմբի զանգվածային բաժնի միջին արժեքը. - արդյունքները ստուգվում են ընտրված ստանդարտին համապատասխանության համար. - չափումների արդյունքները տպագրվում են ներկառուցված տպիչի վրա:</w:t>
            </w:r>
          </w:p>
          <w:p w14:paraId="06C1FC72" w14:textId="77777777" w:rsidR="00BC30EC" w:rsidRP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• արդյունքը ցուցադրվում է, տպագրվում է ներկառուցված տպիչի վրա, պահվում է անալիզատորի հիշողության մեջ, փոխանցվում է LIMS, պահվում է արտաքին USB ֆլեշ կրիչում;</w:t>
            </w:r>
          </w:p>
          <w:p w14:paraId="163E9FE6" w14:textId="77777777" w:rsidR="00BC30EC" w:rsidRDefault="00BC30EC" w:rsidP="00BC30EC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C30EC">
              <w:rPr>
                <w:rFonts w:ascii="GHEA Grapalat" w:hAnsi="GHEA Grapalat" w:cs="Sylfaen"/>
                <w:sz w:val="20"/>
                <w:szCs w:val="20"/>
                <w:lang w:val="hy-AM"/>
              </w:rPr>
              <w:t>• ցուցադրվում է հետևյալ տեղեկատվությունը. գործիքի համարը, չափումների ամսաթիվը և ժամը, օպերատորի տվյալները, նմուշի անվանումը, երկու զուգահեռ նմուշների չափումների արդյունքների միջինը, զուգահեռ չափումների արդյունքների իրական անհամապատասխանությունը, վերլուծության արդյունքների համապատասխանությունը ընտրված ստանդարտի պահանջները:</w:t>
            </w:r>
          </w:p>
          <w:p w14:paraId="3045C210" w14:textId="66653019" w:rsid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Այն ամբողջությամբ ազատված է ճառագայթային մոնիթորինգից, հաշվառումից և դրա հետ աշխատելու համար լիցենզիա չի պահանջում (FBSI «NIIRG անվ. P.V. Ramzaev» թիվ 251-19 04.10.2019թ.</w:t>
            </w:r>
          </w:p>
          <w:p w14:paraId="7874B3BE" w14:textId="29306CF1" w:rsid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Անալիզատորը հավաստագրված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լինի 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գործող օրենսդրության պահանջներին համապատասխան</w:t>
            </w:r>
          </w:p>
          <w:p w14:paraId="48633493" w14:textId="48766CB3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Ընդգրկված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լինի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գործիքների պետական </w:t>
            </w:r>
            <w:r w:rsidRPr="009D173A">
              <w:rPr>
                <w:rFonts w:ascii="Cambria Math" w:hAnsi="Cambria Math" w:cs="Cambria Math"/>
                <w:sz w:val="20"/>
                <w:szCs w:val="20"/>
                <w:lang w:val="hy-AM"/>
              </w:rPr>
              <w:t>​​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ռեգիստրում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(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թիվ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77752-20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պետական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Cambria Math" w:hAnsi="Cambria Math" w:cs="Cambria Math"/>
                <w:sz w:val="20"/>
                <w:szCs w:val="20"/>
                <w:lang w:val="hy-AM"/>
              </w:rPr>
              <w:t>​​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ռեգիստրում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  <w:p w14:paraId="20E4D43B" w14:textId="236748BE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Արտադրված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լինի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RPNF.415312.001TU-ի համաձայն</w:t>
            </w:r>
          </w:p>
          <w:p w14:paraId="52F30F5D" w14:textId="3D7AC038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Այն ամբողջությամբ ազատված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լինի 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ճառագայթային մոնիթորինգից, հաշվառումից և դրա հետ աշխատելու համար լիցենզիա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չ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պահանջ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վի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(FBSI «NIIRG անվ. P.V. Ramzaev» թիվ 251-19 04.10.2019թ.</w:t>
            </w:r>
          </w:p>
          <w:p w14:paraId="7F32A5F1" w14:textId="7AFB3225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Տրամադրվ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է նախնական ստուգման տեղեկատվություն</w:t>
            </w:r>
          </w:p>
          <w:p w14:paraId="55150F5A" w14:textId="321E4066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Առանձնահատկություններ և առավելություններ.</w:t>
            </w:r>
          </w:p>
          <w:p w14:paraId="23FAD2D4" w14:textId="1665CEE5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5703EB"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ործարկում</w:t>
            </w:r>
            <w:r w:rsidR="005703E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ուսուցումը պարտադիր։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6876CE67" w14:textId="6E5812B9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առնվազն 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7 դյույմանոց սենսորային էկրանը և ինտուիտիվ ինտերֆեյսը ապահովում են հարմարավետություն և օգտագործման հարմարավետություն:</w:t>
            </w:r>
          </w:p>
          <w:p w14:paraId="30D938E2" w14:textId="065642CC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Անալիզատորի կողային նմուշի տեղակայմամբ թույլ է տալիս. - բացառել անալիզատորի ներքին բաղադրիչների, ներառյալ ռենտգենյան խողովակի նավթային աղտոտումը. - վերացնել լրացուցիչ պաշտպանիչ թաղանթի աղտոտման հետ կապված սխալը. - հեշտ մաքրվող կուվետի խցիկ;</w:t>
            </w:r>
          </w:p>
          <w:p w14:paraId="49DDF545" w14:textId="77777777" w:rsid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Կարգավորվող փականով օդափոխվող կուվետները հեռացնում են նավթի գոլորշիները նմուշի կյուվետից, ինչը թույլ է տալիս ուսումնասիրել գազային նմուշները՝ առանց նմուշի պատրաստման և չափման ընթացքում ճառագայթող շերտի հաստության փոփոխության պատճառով չափման արդյունքները խեղաթյուրելու ռիսկի: </w:t>
            </w:r>
          </w:p>
          <w:p w14:paraId="18680C6C" w14:textId="73F645BA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Կրկնակի օգտագործման կուվետները զգալիորեն խնայում են լաբորատորիայի շահագործման ծախսերը:</w:t>
            </w:r>
          </w:p>
          <w:p w14:paraId="6AB1484C" w14:textId="26C7AC00" w:rsidR="009D173A" w:rsidRP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  Անալիզատորն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պետք է 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LIMS-ի հետ ինտեգրվելու և անհատական </w:t>
            </w:r>
            <w:r w:rsidRPr="009D173A">
              <w:rPr>
                <w:rFonts w:ascii="Cambria Math" w:hAnsi="Cambria Math" w:cs="Cambria Math"/>
                <w:sz w:val="20"/>
                <w:szCs w:val="20"/>
                <w:lang w:val="hy-AM"/>
              </w:rPr>
              <w:t>​​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համակարգչին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միանալու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հնարավորություն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: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Արդյունքները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USB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ֆլեշ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կրիչում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պահելու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D173A">
              <w:rPr>
                <w:rFonts w:ascii="GHEA Grapalat" w:hAnsi="GHEA Grapalat" w:cs="GHEA Grapalat"/>
                <w:sz w:val="20"/>
                <w:szCs w:val="20"/>
                <w:lang w:val="hy-AM"/>
              </w:rPr>
              <w:t>ունակություն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14:paraId="7D337942" w14:textId="77777777" w:rsidR="009D173A" w:rsidRDefault="009D173A" w:rsidP="009D173A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Անալիզատորն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ապահովի</w:t>
            </w:r>
            <w:r w:rsidRPr="009D173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մուտքի մակարդակների տարբերակում, որը թույլ է տալիս որոշել յուրաքանչյուր առանձին օպերատորի հեղինակությունը:</w:t>
            </w:r>
          </w:p>
          <w:p w14:paraId="6B661EBE" w14:textId="77777777" w:rsidR="004E57B0" w:rsidRP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>Ծծմբի չափման ժամանակ հայտնաբերման սահմանը, ոչ ավելի, քան մգ/կգ (ppm) 3.0</w:t>
            </w:r>
          </w:p>
          <w:p w14:paraId="7E0929D4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Ծծմբի զանգվածային բաժնի չափման միջակայք, % 0.0010-5.0</w:t>
            </w:r>
          </w:p>
          <w:p w14:paraId="6D8329E1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Թույլատրելի բացարձակ սխալի սահմաններ, % ±(0.04 X + 0.00026), որտեղ X-ը ծծմբի զանգվածային բաժինն է, % </w:t>
            </w:r>
          </w:p>
          <w:p w14:paraId="10DB1096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Հարաբերական սխալ δ, %:01-ը %: 30.0 - 0.0050% -ով 9.20 - 0.0500% -ով 4.52 - 0.5000% -ով 4.05 - 5.0% -ով 4.00 </w:t>
            </w:r>
          </w:p>
          <w:p w14:paraId="2E7DE54D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>Արդյունքների մեկ չափումների կրկնելիության սահման* (P=0.95), %, , չափումների միջակայքում, 0,00-ից մինչև 0,0, 0,00, %:0, %: ներառյալ, % 0,0263 X+0,00022 - ավելի քան 0,100-ից մինչև 1,00 ներառյալ, % 0,0146 X + 0,0014 - ավելի քան 1,00-ից մինչև 5,00% 0,0075 X + 0,0085 * Մոդուլը երկու հավասարումների զանգվածի տարբերության երկու չափումների միջև: նմուշ, % 6,6 Սխալի պատահական բաղադրիչի թույլատրելի հարաբերական RMS-ի սահմանը (ծծմբի զանգվածային մասի համար 0,05%), % 0,5</w:t>
            </w:r>
          </w:p>
          <w:p w14:paraId="0FDEA5B1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ռենտգեն խողովակի լարում, կՎ, ոչ ավելի, քան 5 </w:t>
            </w:r>
          </w:p>
          <w:p w14:paraId="68558DEA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Օդի հովացման համակարգ </w:t>
            </w:r>
          </w:p>
          <w:p w14:paraId="76ACC908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Էլեկտրաէներգիայի մատակարարում AC ցանց (50 ± 1) Հց հաճախականությամբ, V 195-ից մինչև 253 </w:t>
            </w:r>
          </w:p>
          <w:p w14:paraId="0F7C08B3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Անալիզատորի կողմից սպառվող հզորությունը, VA, ոչ ավելի, քան 100 </w:t>
            </w:r>
          </w:p>
          <w:p w14:paraId="1D40CA3C" w14:textId="5AB3825D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Ընդհանուր չափերը (H×W×D), մմ, ոչ ավելի, քան 185x320x400 6.12 Քաշը , կգ, ոչ ավելի, քան 8,5 Կողքի նմուշի բեռնիչ, մեկ նմուշի համար </w:t>
            </w:r>
          </w:p>
          <w:p w14:paraId="51CBB4B6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Նմուշի դիրքը չափումների ժամանակ ուղղահայաց </w:t>
            </w:r>
          </w:p>
          <w:p w14:paraId="646FDF2A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Կիվետներ </w:t>
            </w:r>
            <w:r w:rsidRPr="004E57B0">
              <w:rPr>
                <w:rFonts w:ascii="Cambria Math" w:hAnsi="Cambria Math" w:cs="Cambria Math"/>
                <w:sz w:val="20"/>
                <w:szCs w:val="20"/>
                <w:lang w:val="hy-AM"/>
              </w:rPr>
              <w:t>∅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32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մմ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8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սմ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օդափոխվող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200155F8" w14:textId="77777777" w:rsidR="004E57B0" w:rsidRDefault="004E57B0" w:rsidP="004E57B0">
            <w:pPr>
              <w:jc w:val="both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Սարքեր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որոնք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ապահովում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են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չափումների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արդյունքների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մուտքագրում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հավաքում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մշակում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ցուցադրում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և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տպում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ներկառուցված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համակարգիչ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, 7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դյույմանոց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սենսորային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էկրան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տպիչ</w:t>
            </w:r>
          </w:p>
          <w:p w14:paraId="6F039CDD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Օգտատիրոջ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մուտքի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մակարդակների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քանակը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 </w:t>
            </w:r>
          </w:p>
          <w:p w14:paraId="7EDBCBE7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Կալիբրացիայի կոր 40 տրամաչափման կորից պակաս։ Միավորների քանակը սահմանափակված չէ </w:t>
            </w:r>
          </w:p>
          <w:p w14:paraId="39D229B4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>Ներկառուցված է արդյունքները USB ֆլեշ կրիչում պահելու հնարավորությունը</w:t>
            </w:r>
          </w:p>
          <w:p w14:paraId="4D1A5BC0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Արտաքին Ethernet համակարգչի միացման հնարավորությունը </w:t>
            </w:r>
          </w:p>
          <w:p w14:paraId="6AB5BC57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Արտաքին համակարգչային ցանցերին միանալու հնարավորությունը Ethernet </w:t>
            </w:r>
          </w:p>
          <w:p w14:paraId="7CC82180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Շտրիխ կոդի սկաների միացման հնարավորությունը իրականացված </w:t>
            </w:r>
          </w:p>
          <w:p w14:paraId="541169F5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MTBF, ժ, առնվազն 15000 6.24 Միջին ժամկետը, 10 տարի </w:t>
            </w:r>
          </w:p>
          <w:p w14:paraId="7B3AA688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Աշխատանքային պայմանները. անալիզատորը, փոփոխության SL համարը Ներառված : Լրացուցիչ, 1. Անալիզատոր 1 2. Սպառվող նյութեր՝ 2.1. Ջերմային ստուգիչ ժապավեն, 58 մմ երկարություն, 24 մ (գլան) 10 2.2. Պոլիէթիլենային տերեֆտալատ թաղանթ, ռուլետ 100 մ 3 2.3. Հեղուկների տեղափոխման համար նախատեսված մեկանգամյա պիպետտ (Pasteur) 200 3. Ստանդարտ նմուշների և նյութերի հավաքածու անալիզատորի չափաբերման և ստուգման համար. 3.1. CM-00-CX հանքային յուղ ցածր ծծմբի պարունակությամբ, 100 մլ * 5 3.2. Հանքային յուղում ծծմբի զանգվածային մասի ստանդարտ նմուշների հավաքածու՝ 100 մլ յուրաքանչյուրը պարունակում է՝ 10.0 ppm, 500 ppm, 1000 ppm, 1.0%, 5.0% * 1 4. Աքսեսուարների հավաքածու 4.1. Էլեկտրոնային կրիչների վրա ինքնուրույն ծրագրակազմ (ըստ ցանկության) 1 4.2. Կիվետ օդափոխվող 100 4.3. Կիվետի ապամոնտաժման գործիք 1 4.4. Պուշեր 1 4.5. Հղման նմուշ Mo 1 5. Փաստաթղթեր 5.1. Գործառնական ձեռնարկ 1 5.2. Անձնագիր (բնօրինակ) 1 5.3. Ստուգման ընթացակարգ MP-93-251-2019 (պատճեն) 1 5.4. Ստուգման վկայական ըստ պահանջի 5.5. MI տեսակի հաստատման վկայագրի պատճենը MI տիպի նկարագրության հավելվածով 1 5.6. Փորձագիտական </w:t>
            </w:r>
            <w:r w:rsidRPr="004E57B0">
              <w:rPr>
                <w:rFonts w:ascii="Cambria Math" w:hAnsi="Cambria Math" w:cs="Cambria Math"/>
                <w:sz w:val="20"/>
                <w:szCs w:val="20"/>
                <w:lang w:val="hy-AM"/>
              </w:rPr>
              <w:t>​​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եզրակացություն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ճառագայթային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E57B0">
              <w:rPr>
                <w:rFonts w:ascii="GHEA Grapalat" w:hAnsi="GHEA Grapalat" w:cs="GHEA Grapalat"/>
                <w:sz w:val="20"/>
                <w:szCs w:val="20"/>
                <w:lang w:val="hy-AM"/>
              </w:rPr>
              <w:t>անվտան</w:t>
            </w: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t>գության վերաբերյալ (պատճեն) 1 5.7. Համապատասխանության հռչակագիր TR CU (պատճեն) 1 5.8. Հանքային յուղում ծծմբի SS զանգվածային բաժնի վկայագրերի հավաքածու 1 5.9. Անձնագրի նմուշ «Ծծմբի ցածր պարունակությամբ հանքային յուղ» 1 5.10. Անձնագիր RA9.700.500 Օդափոխվող կուվետ (օրիգինալ) 1 5.11. Հեղուկների փոխանցման պիպետների տվյալների թերթիկ (Pasteur) մեկանգամյա օգտագործման 1 5.12. ՀՀ անձնագիր 6.000.060. Վերահսկիչ նմուշ Mo 1</w:t>
            </w:r>
          </w:p>
          <w:p w14:paraId="3C18F644" w14:textId="77777777" w:rsidR="004E57B0" w:rsidRDefault="004E57B0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E57B0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 հավաքածուում ներառված ռեակտիվները և նմուշները</w:t>
            </w:r>
          </w:p>
          <w:p w14:paraId="059529C6" w14:textId="77777777" w:rsidR="005703EB" w:rsidRDefault="005703EB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5DEB8535" w14:textId="77777777" w:rsidR="005703EB" w:rsidRDefault="005703EB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60EDD952" w14:textId="681CFD46" w:rsidR="005703EB" w:rsidRPr="00C8250C" w:rsidRDefault="005703EB" w:rsidP="004E57B0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*Երաշխիք 1 տարի</w:t>
            </w:r>
          </w:p>
        </w:tc>
      </w:tr>
    </w:tbl>
    <w:p w14:paraId="1184A304" w14:textId="77777777" w:rsidR="0087629B" w:rsidRPr="00F566BF" w:rsidRDefault="0087629B" w:rsidP="0087629B">
      <w:pPr>
        <w:jc w:val="right"/>
        <w:rPr>
          <w:rFonts w:ascii="GHEA Grapalat" w:hAnsi="GHEA Grapalat"/>
          <w:i/>
          <w:sz w:val="18"/>
          <w:lang w:val="hy-AM"/>
        </w:rPr>
      </w:pPr>
    </w:p>
    <w:bookmarkEnd w:id="0"/>
    <w:p w14:paraId="677CA10F" w14:textId="77777777" w:rsidR="00F12C76" w:rsidRPr="0087629B" w:rsidRDefault="00F12C76" w:rsidP="006C0B77">
      <w:pPr>
        <w:ind w:firstLine="709"/>
        <w:jc w:val="both"/>
        <w:rPr>
          <w:lang w:val="hy-AM"/>
        </w:rPr>
      </w:pPr>
    </w:p>
    <w:sectPr w:rsidR="00F12C76" w:rsidRPr="0087629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F5A"/>
    <w:multiLevelType w:val="hybridMultilevel"/>
    <w:tmpl w:val="89A853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008BE"/>
    <w:multiLevelType w:val="hybridMultilevel"/>
    <w:tmpl w:val="029C535E"/>
    <w:lvl w:ilvl="0" w:tplc="53DA2E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A5FDD"/>
    <w:multiLevelType w:val="hybridMultilevel"/>
    <w:tmpl w:val="C1BA8F96"/>
    <w:lvl w:ilvl="0" w:tplc="042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02A1F"/>
    <w:multiLevelType w:val="hybridMultilevel"/>
    <w:tmpl w:val="296C68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777E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0245868"/>
    <w:multiLevelType w:val="hybridMultilevel"/>
    <w:tmpl w:val="CE7CE3D0"/>
    <w:lvl w:ilvl="0" w:tplc="53DA2E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81B48"/>
    <w:multiLevelType w:val="hybridMultilevel"/>
    <w:tmpl w:val="81C01A76"/>
    <w:lvl w:ilvl="0" w:tplc="5D48198A">
      <w:start w:val="3"/>
      <w:numFmt w:val="bullet"/>
      <w:lvlText w:val="-"/>
      <w:lvlJc w:val="left"/>
      <w:pPr>
        <w:ind w:left="720" w:hanging="360"/>
      </w:pPr>
      <w:rPr>
        <w:rFonts w:ascii="Arial AM" w:eastAsia="Times New Roman" w:hAnsi="Arial AM" w:cs="Aria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05E5C"/>
    <w:multiLevelType w:val="hybridMultilevel"/>
    <w:tmpl w:val="06D0B29E"/>
    <w:lvl w:ilvl="0" w:tplc="FF064ACC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C404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66006DBC"/>
    <w:multiLevelType w:val="hybridMultilevel"/>
    <w:tmpl w:val="11EA8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E0293"/>
    <w:multiLevelType w:val="hybridMultilevel"/>
    <w:tmpl w:val="DF96FE32"/>
    <w:lvl w:ilvl="0" w:tplc="042B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EF"/>
    <w:rsid w:val="000559EB"/>
    <w:rsid w:val="000D3FF2"/>
    <w:rsid w:val="0016199C"/>
    <w:rsid w:val="0018159C"/>
    <w:rsid w:val="001F18DF"/>
    <w:rsid w:val="003B14EF"/>
    <w:rsid w:val="004E57B0"/>
    <w:rsid w:val="005703EB"/>
    <w:rsid w:val="006C0B77"/>
    <w:rsid w:val="00737141"/>
    <w:rsid w:val="0076508B"/>
    <w:rsid w:val="008242FF"/>
    <w:rsid w:val="00870751"/>
    <w:rsid w:val="00870997"/>
    <w:rsid w:val="0087629B"/>
    <w:rsid w:val="00922C48"/>
    <w:rsid w:val="009D173A"/>
    <w:rsid w:val="00B324D7"/>
    <w:rsid w:val="00B915B7"/>
    <w:rsid w:val="00BC30EC"/>
    <w:rsid w:val="00C8250C"/>
    <w:rsid w:val="00E708F3"/>
    <w:rsid w:val="00EA0C6A"/>
    <w:rsid w:val="00EA59DF"/>
    <w:rsid w:val="00EA60DC"/>
    <w:rsid w:val="00EE4070"/>
    <w:rsid w:val="00F12C76"/>
    <w:rsid w:val="00F1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B9901"/>
  <w15:docId w15:val="{77E74015-1598-4B9A-BE09-63E9A5DC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50C"/>
    <w:pPr>
      <w:keepNext/>
      <w:spacing w:before="120" w:line="276" w:lineRule="auto"/>
      <w:jc w:val="center"/>
      <w:outlineLvl w:val="0"/>
    </w:pPr>
    <w:rPr>
      <w:rFonts w:ascii="Arial AMU" w:eastAsia="Batang" w:hAnsi="Arial AMU"/>
      <w:b/>
      <w:bCs/>
      <w:kern w:val="32"/>
      <w:sz w:val="28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59C"/>
    <w:pPr>
      <w:ind w:left="720"/>
    </w:pPr>
    <w:rPr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8250C"/>
    <w:rPr>
      <w:rFonts w:ascii="Arial AMU" w:eastAsia="Batang" w:hAnsi="Arial AMU" w:cs="Times New Roman"/>
      <w:b/>
      <w:bCs/>
      <w:kern w:val="32"/>
      <w:sz w:val="28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 Petrosyan</cp:lastModifiedBy>
  <cp:revision>5</cp:revision>
  <cp:lastPrinted>2023-05-08T07:40:00Z</cp:lastPrinted>
  <dcterms:created xsi:type="dcterms:W3CDTF">2023-09-06T23:57:00Z</dcterms:created>
  <dcterms:modified xsi:type="dcterms:W3CDTF">2023-09-07T14:25:00Z</dcterms:modified>
</cp:coreProperties>
</file>